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1B749" w14:textId="5052CF32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711631"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0603A4">
        <w:rPr>
          <w:rFonts w:ascii="Arial" w:eastAsia="MS Gothic" w:hAnsi="Arial" w:cs="Arial"/>
          <w:b/>
          <w:bCs/>
          <w:sz w:val="24"/>
          <w:szCs w:val="24"/>
          <w:lang w:eastAsia="ja-JP"/>
        </w:rPr>
        <w:t>1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C36091">
        <w:rPr>
          <w:rFonts w:ascii="Arial" w:eastAsia="MS Gothic" w:hAnsi="Arial"/>
          <w:b/>
          <w:sz w:val="24"/>
          <w:szCs w:val="24"/>
          <w:lang w:eastAsia="ja-JP"/>
        </w:rPr>
        <w:t>5</w:t>
      </w:r>
      <w:r w:rsidR="003D53AA" w:rsidRPr="00595737"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6D17E3">
        <w:rPr>
          <w:rFonts w:ascii="Arial" w:eastAsia="MS Gothic" w:hAnsi="Arial"/>
          <w:b/>
          <w:sz w:val="24"/>
          <w:szCs w:val="24"/>
          <w:lang w:eastAsia="ja-JP"/>
        </w:rPr>
        <w:t>3600</w:t>
      </w:r>
    </w:p>
    <w:bookmarkEnd w:id="0"/>
    <w:p w14:paraId="6185519B" w14:textId="06483CF2" w:rsidR="000603A4" w:rsidRPr="000603A4" w:rsidRDefault="000603A4" w:rsidP="000603A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0603A4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St Julian’s, Malta, </w:t>
      </w:r>
      <w:r w:rsidRPr="000603A4">
        <w:rPr>
          <w:rFonts w:ascii="맑은 고딕" w:eastAsia="맑은 고딕" w:hAnsi="맑은 고딕" w:cs="맑은 고딕"/>
          <w:b/>
          <w:bCs/>
          <w:sz w:val="24"/>
          <w:szCs w:val="24"/>
          <w:lang w:eastAsia="ko-KR"/>
        </w:rPr>
        <w:t xml:space="preserve">May </w:t>
      </w:r>
      <w:r w:rsidRPr="000603A4">
        <w:rPr>
          <w:rFonts w:ascii="Arial" w:eastAsia="MS Mincho" w:hAnsi="Arial" w:cs="Arial"/>
          <w:b/>
          <w:bCs/>
          <w:sz w:val="24"/>
          <w:szCs w:val="24"/>
          <w:lang w:eastAsia="ja-JP"/>
        </w:rPr>
        <w:t>19</w:t>
      </w:r>
      <w:r w:rsidRPr="000603A4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0603A4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0603A4">
        <w:rPr>
          <w:rFonts w:ascii="Arial" w:hAnsi="Arial" w:cs="Arial"/>
          <w:b/>
          <w:bCs/>
          <w:sz w:val="24"/>
          <w:szCs w:val="24"/>
        </w:rPr>
        <w:t>– 23</w:t>
      </w:r>
      <w:r w:rsidRPr="000603A4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603A4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66297322" w14:textId="17C04853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595563">
        <w:rPr>
          <w:rFonts w:ascii="Arial" w:eastAsia="맑은 고딕" w:hAnsi="Arial"/>
          <w:sz w:val="24"/>
          <w:szCs w:val="24"/>
          <w:lang w:eastAsia="ko-KR"/>
        </w:rPr>
        <w:t>9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595563">
        <w:rPr>
          <w:rFonts w:ascii="Arial" w:eastAsia="맑은 고딕" w:hAnsi="Arial"/>
          <w:sz w:val="24"/>
          <w:szCs w:val="24"/>
          <w:lang w:eastAsia="ko-KR"/>
        </w:rPr>
        <w:t>15.</w:t>
      </w:r>
      <w:r w:rsidR="00135137">
        <w:rPr>
          <w:rFonts w:ascii="Arial" w:eastAsia="맑은 고딕" w:hAnsi="Arial"/>
          <w:sz w:val="24"/>
          <w:szCs w:val="24"/>
          <w:lang w:eastAsia="ko-KR"/>
        </w:rPr>
        <w:t>10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50BF822F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932A15">
        <w:rPr>
          <w:rFonts w:ascii="Arial" w:eastAsia="맑은 고딕" w:hAnsi="Arial" w:cs="Arial"/>
          <w:sz w:val="24"/>
          <w:lang w:eastAsia="ko-KR"/>
        </w:rPr>
        <w:t>IoT-NTN TDD mode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2DCB2BD8" w:rsidR="00F44C59" w:rsidRPr="00F44C59" w:rsidRDefault="002E2DA2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6791FBC6" w:rsidR="00D54576" w:rsidRPr="00F44C59" w:rsidRDefault="00616A82" w:rsidP="009E6BC5">
      <w:pPr>
        <w:spacing w:after="0" w:line="240" w:lineRule="auto"/>
        <w:ind w:firstLine="284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considers </w:t>
      </w:r>
      <w:r w:rsidR="00D444EE">
        <w:rPr>
          <w:rFonts w:eastAsia="MS Gothic"/>
          <w:szCs w:val="16"/>
          <w:lang w:eastAsia="ko-KR"/>
        </w:rPr>
        <w:t>UE features for</w:t>
      </w:r>
      <w:r w:rsidR="005D4D53">
        <w:rPr>
          <w:rFonts w:eastAsia="MS Gothic"/>
          <w:szCs w:val="16"/>
          <w:lang w:eastAsia="ko-KR"/>
        </w:rPr>
        <w:t xml:space="preserve"> </w:t>
      </w:r>
      <w:r w:rsidR="00F16187">
        <w:rPr>
          <w:rFonts w:eastAsia="MS Gothic"/>
          <w:szCs w:val="16"/>
          <w:lang w:eastAsia="ko-KR"/>
        </w:rPr>
        <w:t>IoT-NTN TDD mode</w:t>
      </w:r>
      <w:r w:rsidR="00B81E26" w:rsidRPr="00C727B0">
        <w:rPr>
          <w:rFonts w:eastAsia="MS Gothic"/>
          <w:szCs w:val="16"/>
          <w:lang w:eastAsia="ko-KR"/>
        </w:rPr>
        <w:t>.</w:t>
      </w:r>
    </w:p>
    <w:p w14:paraId="20E6A330" w14:textId="77777777" w:rsidR="00D55368" w:rsidRPr="00D55368" w:rsidRDefault="00D55368" w:rsidP="001D227F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3E9AEE83" w14:textId="37725CB8" w:rsidR="001D227F" w:rsidRPr="00F44C59" w:rsidRDefault="00B93030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465EF1E2" w14:textId="58E27B72" w:rsidR="004606E5" w:rsidRPr="00447D19" w:rsidRDefault="00A06214" w:rsidP="00D5011D">
      <w:pPr>
        <w:pStyle w:val="0Maintext"/>
        <w:spacing w:before="180" w:after="240" w:afterAutospacing="0"/>
        <w:ind w:firstLine="284"/>
        <w:contextualSpacing/>
        <w:rPr>
          <w:rFonts w:cs="Times New Roman"/>
          <w:lang w:val="en-US" w:eastAsia="ko-KR"/>
        </w:rPr>
      </w:pPr>
      <w:r w:rsidRPr="00447D19">
        <w:rPr>
          <w:rFonts w:cs="Times New Roman"/>
          <w:lang w:val="en-US" w:eastAsia="ko-KR"/>
        </w:rPr>
        <w:t xml:space="preserve">In [1], following is agreed for IoT-NTN TDD mode.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"/>
        <w:gridCol w:w="1108"/>
        <w:gridCol w:w="5110"/>
        <w:gridCol w:w="696"/>
        <w:gridCol w:w="496"/>
        <w:gridCol w:w="526"/>
        <w:gridCol w:w="1291"/>
        <w:gridCol w:w="825"/>
        <w:gridCol w:w="722"/>
        <w:gridCol w:w="646"/>
        <w:gridCol w:w="1631"/>
        <w:gridCol w:w="517"/>
      </w:tblGrid>
      <w:tr w:rsidR="00447D19" w:rsidRPr="00447D19" w14:paraId="22AA19B2" w14:textId="77777777" w:rsidTr="00CB12A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1"/>
          <w:bookmarkEnd w:id="2"/>
          <w:bookmarkEnd w:id="4"/>
          <w:p w14:paraId="388CFDDA" w14:textId="77777777" w:rsidR="00447D19" w:rsidRPr="00447D19" w:rsidRDefault="00447D19" w:rsidP="00CB12AE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37501" w14:textId="77777777" w:rsidR="00447D19" w:rsidRPr="00447D19" w:rsidRDefault="00447D19" w:rsidP="00CB12AE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Support of IoT-NTN TDD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74E9" w14:textId="77777777" w:rsidR="00447D19" w:rsidRPr="00447D19" w:rsidRDefault="00447D19" w:rsidP="00CB12AE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 xml:space="preserve">1. Support a TDD pattern with periodicity of N=9 radio frames, which consists of D=8 contiguous DL subframes and U=8 contiguous UL subframes. The guard period between the end of the DL subframes and the beginning of the UL subframes is fixed to be 50 </w:t>
            </w:r>
            <w:proofErr w:type="spellStart"/>
            <w:r w:rsidRPr="00447D19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ms</w:t>
            </w:r>
            <w:proofErr w:type="spellEnd"/>
            <w:r w:rsidRPr="00447D19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 xml:space="preserve"> at the ULSRP</w:t>
            </w:r>
          </w:p>
          <w:p w14:paraId="0D7E0EC6" w14:textId="77777777" w:rsidR="00447D19" w:rsidRPr="00447D19" w:rsidRDefault="00447D19" w:rsidP="00CB12AE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2. The DL subframes of pattern are fixed to subframes [3 4 5 6 7 8 9 0] across two consecutive radio frames.</w:t>
            </w:r>
          </w:p>
          <w:p w14:paraId="38098CC9" w14:textId="77777777" w:rsidR="00447D19" w:rsidRPr="00447D19" w:rsidRDefault="00447D19" w:rsidP="00CB12AE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3. The non-U NB-IoT subframes are not considered by the UE as “NB-IoT UL subframes”</w:t>
            </w:r>
          </w:p>
          <w:p w14:paraId="616AC01A" w14:textId="77777777" w:rsidR="00447D19" w:rsidRPr="00447D19" w:rsidRDefault="00447D19" w:rsidP="00CB12AE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4. The non-D NB-IoT subframes are not considered by the UE as “NB-IoT DL subframes”</w:t>
            </w:r>
          </w:p>
          <w:p w14:paraId="5758916A" w14:textId="77777777" w:rsidR="00447D19" w:rsidRPr="00447D19" w:rsidRDefault="00447D19" w:rsidP="00CB12AE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5. Support NPSS/NSSS/NPBCH transmissions dropped in non-D NB-IoT subframes</w:t>
            </w:r>
          </w:p>
          <w:p w14:paraId="7BCF85E4" w14:textId="77777777" w:rsidR="00447D19" w:rsidRPr="00447D19" w:rsidRDefault="00447D19" w:rsidP="00CB12AE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6. Postponement of NPRACH transmissions in non-U NB-IoT subframes until the next U NB-IoT subframe(s), where the unit of postponement is one PRU.</w:t>
            </w:r>
          </w:p>
          <w:p w14:paraId="63507BBB" w14:textId="77777777" w:rsidR="00447D19" w:rsidRPr="00447D19" w:rsidRDefault="00447D19" w:rsidP="00CB12AE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</w:p>
          <w:p w14:paraId="21A7912C" w14:textId="77777777" w:rsidR="00447D19" w:rsidRPr="00447D19" w:rsidRDefault="00447D19" w:rsidP="00CB12AE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Gothic"/>
                <w:color w:val="000000"/>
                <w:sz w:val="18"/>
                <w:szCs w:val="18"/>
                <w:highlight w:val="yellow"/>
                <w:lang w:val="en-GB" w:eastAsia="ja-JP"/>
              </w:rPr>
              <w:t>[FFS Whether/how to capture components in Rel-17 2-1b, in case the FG is not defined to be the prerequisite one.]</w:t>
            </w:r>
          </w:p>
          <w:p w14:paraId="34790F77" w14:textId="77777777" w:rsidR="00447D19" w:rsidRPr="00447D19" w:rsidRDefault="00447D19" w:rsidP="00CB12AE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Gothic"/>
                <w:color w:val="000000"/>
                <w:sz w:val="18"/>
                <w:szCs w:val="18"/>
                <w:highlight w:val="yellow"/>
                <w:lang w:val="en-GB" w:eastAsia="ja-JP"/>
              </w:rPr>
              <w:t>[FFS other component(s)/FG(s)]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10D7" w14:textId="77777777" w:rsidR="00447D19" w:rsidRPr="00447D19" w:rsidRDefault="00447D19" w:rsidP="00CB12AE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  <w:t>[Rel-17 2-1b]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BBF5" w14:textId="77777777" w:rsidR="00447D19" w:rsidRPr="00447D19" w:rsidRDefault="00447D19" w:rsidP="00CB12AE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7428" w14:textId="77777777" w:rsidR="00447D19" w:rsidRPr="00447D19" w:rsidRDefault="00447D19" w:rsidP="00CB12AE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0E750" w14:textId="77777777" w:rsidR="00447D19" w:rsidRPr="00447D19" w:rsidRDefault="00447D19" w:rsidP="00CB12AE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eastAsia="ja-JP"/>
              </w:rPr>
            </w:pPr>
            <w:r w:rsidRPr="00447D19">
              <w:rPr>
                <w:rFonts w:eastAsia="MS Mincho"/>
                <w:color w:val="000000"/>
                <w:sz w:val="18"/>
                <w:szCs w:val="18"/>
                <w:lang w:eastAsia="ja-JP"/>
              </w:rPr>
              <w:t>IoT-NTN TDD mode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DE86" w14:textId="77777777" w:rsidR="00447D19" w:rsidRPr="00447D19" w:rsidRDefault="00447D19" w:rsidP="00CB12AE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  <w:t>[Per UE or 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9B43" w14:textId="77777777" w:rsidR="00447D19" w:rsidRPr="00447D19" w:rsidRDefault="00447D19" w:rsidP="00CB12AE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  <w:t>[TDD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386D" w14:textId="77777777" w:rsidR="00447D19" w:rsidRPr="00447D19" w:rsidRDefault="00447D19" w:rsidP="00CB12AE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447D19"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97454" w14:textId="77777777" w:rsidR="00447D19" w:rsidRPr="00447D19" w:rsidRDefault="00447D19" w:rsidP="00CB12AE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447D19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Applicable only for 1616-1626.5 MHz MSS allocated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0A656" w14:textId="77777777" w:rsidR="00447D19" w:rsidRPr="00447D19" w:rsidRDefault="00447D19" w:rsidP="00CB12AE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447D19"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</w:tr>
    </w:tbl>
    <w:p w14:paraId="34C0890F" w14:textId="0E17BA4D" w:rsidR="00E75183" w:rsidRDefault="00E75183" w:rsidP="00E75183">
      <w:pPr>
        <w:snapToGrid w:val="0"/>
        <w:spacing w:line="240" w:lineRule="auto"/>
        <w:jc w:val="both"/>
        <w:rPr>
          <w:rFonts w:eastAsiaTheme="minorEastAsia"/>
          <w:lang w:eastAsia="ko-KR"/>
        </w:rPr>
      </w:pPr>
    </w:p>
    <w:p w14:paraId="3DBF19FA" w14:textId="50FEA710" w:rsidR="00E75183" w:rsidRPr="00E75183" w:rsidRDefault="00E75183" w:rsidP="00E75183">
      <w:pPr>
        <w:pStyle w:val="af9"/>
        <w:numPr>
          <w:ilvl w:val="0"/>
          <w:numId w:val="27"/>
        </w:numPr>
        <w:snapToGrid w:val="0"/>
        <w:jc w:val="both"/>
        <w:rPr>
          <w:rFonts w:ascii="Times New Roman" w:eastAsiaTheme="minorEastAsia" w:hAnsi="Times New Roman"/>
          <w:sz w:val="20"/>
          <w:szCs w:val="20"/>
          <w:lang w:eastAsia="ko-KR"/>
        </w:rPr>
      </w:pPr>
      <w:r w:rsidRPr="00E75183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lastRenderedPageBreak/>
        <w:t>Components:</w:t>
      </w:r>
      <w:r w:rsidRPr="00E75183">
        <w:rPr>
          <w:rFonts w:ascii="Times New Roman" w:eastAsiaTheme="minorEastAsia" w:hAnsi="Times New Roman"/>
          <w:sz w:val="20"/>
          <w:szCs w:val="20"/>
          <w:lang w:eastAsia="ko-KR"/>
        </w:rPr>
        <w:t xml:space="preserve"> Rel-17 2-1b should be captured as a prerequisite, as this feature is for NTN operation and requires support for Rel-17 2-1b as a basic feature. Otherwise, further details may need to be explained in the components.</w:t>
      </w:r>
    </w:p>
    <w:p w14:paraId="67545ACB" w14:textId="6DC3878F" w:rsidR="00E75183" w:rsidRPr="00E75183" w:rsidRDefault="00E75183" w:rsidP="00E75183">
      <w:pPr>
        <w:pStyle w:val="af9"/>
        <w:numPr>
          <w:ilvl w:val="0"/>
          <w:numId w:val="27"/>
        </w:numPr>
        <w:snapToGrid w:val="0"/>
        <w:jc w:val="both"/>
        <w:rPr>
          <w:rFonts w:ascii="Times New Roman" w:eastAsiaTheme="minorEastAsia" w:hAnsi="Times New Roman"/>
          <w:sz w:val="20"/>
          <w:szCs w:val="20"/>
          <w:lang w:eastAsia="ko-KR"/>
        </w:rPr>
      </w:pPr>
      <w:r w:rsidRPr="00E75183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Need for FDD/TDD differentiation:</w:t>
      </w:r>
      <w:r w:rsidRPr="00E75183">
        <w:rPr>
          <w:rFonts w:ascii="Times New Roman" w:eastAsiaTheme="minorEastAsia" w:hAnsi="Times New Roman"/>
          <w:sz w:val="20"/>
          <w:szCs w:val="20"/>
          <w:lang w:eastAsia="ko-KR"/>
        </w:rPr>
        <w:t xml:space="preserve"> It should be TDD-only, according to the WID. There is no motivation to consider this feature in FDD.</w:t>
      </w:r>
    </w:p>
    <w:p w14:paraId="72AFAC23" w14:textId="117017A7" w:rsidR="00E75183" w:rsidRPr="00E75183" w:rsidRDefault="00E75183" w:rsidP="00E75183">
      <w:pPr>
        <w:pStyle w:val="af9"/>
        <w:numPr>
          <w:ilvl w:val="0"/>
          <w:numId w:val="27"/>
        </w:numPr>
        <w:snapToGrid w:val="0"/>
        <w:jc w:val="both"/>
        <w:rPr>
          <w:rFonts w:ascii="Times New Roman" w:eastAsiaTheme="minorEastAsia" w:hAnsi="Times New Roman"/>
          <w:sz w:val="20"/>
          <w:szCs w:val="20"/>
          <w:lang w:eastAsia="ko-KR"/>
        </w:rPr>
      </w:pPr>
      <w:r w:rsidRPr="00E75183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Mandatory/Optional:</w:t>
      </w:r>
      <w:r w:rsidRPr="00E75183">
        <w:rPr>
          <w:rFonts w:ascii="Times New Roman" w:eastAsiaTheme="minorEastAsia" w:hAnsi="Times New Roman"/>
          <w:sz w:val="20"/>
          <w:szCs w:val="20"/>
          <w:lang w:eastAsia="ko-KR"/>
        </w:rPr>
        <w:t xml:space="preserve"> As this feature requires new changes on NPSS/NSSS/NPBCH, it should be optional without capability signaling.</w:t>
      </w:r>
    </w:p>
    <w:p w14:paraId="50BB2390" w14:textId="35EB721D" w:rsidR="00956E21" w:rsidRDefault="00956E21" w:rsidP="00B40953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32B6389A" w14:textId="6D0D147D" w:rsidR="002C4549" w:rsidRPr="009B638D" w:rsidRDefault="002C4549" w:rsidP="002C4549">
      <w:pPr>
        <w:pStyle w:val="0Maintext"/>
        <w:spacing w:after="240" w:afterAutospacing="0"/>
        <w:ind w:firstLine="0"/>
        <w:contextualSpacing/>
        <w:rPr>
          <w:b/>
          <w:u w:val="single"/>
          <w:lang w:eastAsia="ko-KR"/>
        </w:rPr>
      </w:pPr>
      <w:r w:rsidRPr="00AF21FF">
        <w:rPr>
          <w:b/>
          <w:u w:val="single"/>
          <w:lang w:eastAsia="ko-KR"/>
        </w:rPr>
        <w:t xml:space="preserve">Proposal 1: </w:t>
      </w:r>
      <w:r>
        <w:rPr>
          <w:b/>
          <w:u w:val="single"/>
          <w:lang w:eastAsia="ko-KR"/>
        </w:rPr>
        <w:t xml:space="preserve">Consider the above updates </w:t>
      </w:r>
      <w:r w:rsidRPr="002C4549">
        <w:rPr>
          <w:b/>
          <w:u w:val="single"/>
          <w:lang w:eastAsia="ko-KR"/>
        </w:rPr>
        <w:t xml:space="preserve">for </w:t>
      </w:r>
      <w:r w:rsidRPr="002C4549">
        <w:rPr>
          <w:rFonts w:eastAsia="MS Gothic"/>
          <w:b/>
          <w:szCs w:val="16"/>
          <w:u w:val="single"/>
          <w:lang w:eastAsia="ko-KR"/>
        </w:rPr>
        <w:t>IoT-NTN TDD mode</w:t>
      </w:r>
      <w:r w:rsidRPr="002C4549">
        <w:rPr>
          <w:b/>
          <w:u w:val="single"/>
          <w:lang w:eastAsia="ko-KR"/>
        </w:rPr>
        <w:t>.</w:t>
      </w:r>
      <w:r w:rsidRPr="009B638D">
        <w:rPr>
          <w:b/>
          <w:u w:val="single"/>
          <w:lang w:eastAsia="ko-KR"/>
        </w:rPr>
        <w:t xml:space="preserve"> </w:t>
      </w:r>
    </w:p>
    <w:p w14:paraId="3B4F3F1C" w14:textId="77777777" w:rsidR="00956E21" w:rsidRPr="00D55368" w:rsidRDefault="00956E21" w:rsidP="00B40953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5F94D3CF" w14:textId="644DB37B" w:rsidR="00B40953" w:rsidRPr="00F44C59" w:rsidRDefault="00B40953" w:rsidP="00B40953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Reference</w:t>
      </w:r>
    </w:p>
    <w:p w14:paraId="0FD146C4" w14:textId="4B74BD1A" w:rsidR="00B40953" w:rsidRPr="00F41126" w:rsidRDefault="00B40953" w:rsidP="00B40953">
      <w:pPr>
        <w:pStyle w:val="0Maintext"/>
        <w:spacing w:after="240" w:afterAutospacing="0"/>
        <w:ind w:firstLine="0"/>
        <w:contextualSpacing/>
        <w:rPr>
          <w:lang w:val="en-US" w:eastAsia="ko-KR"/>
        </w:rPr>
      </w:pPr>
      <w:r>
        <w:rPr>
          <w:lang w:val="en-US" w:eastAsia="ko-KR"/>
        </w:rPr>
        <w:t xml:space="preserve">[1] R1-2502969, </w:t>
      </w:r>
      <w:r w:rsidR="00116038" w:rsidRPr="00116038">
        <w:rPr>
          <w:lang w:val="en-US" w:eastAsia="ko-KR"/>
        </w:rPr>
        <w:t>Session Notes of AI 9.15.10</w:t>
      </w:r>
    </w:p>
    <w:sectPr w:rsidR="00B40953" w:rsidRPr="00F41126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E3273" w14:textId="77777777" w:rsidR="004D0D04" w:rsidRDefault="004D0D04">
      <w:r>
        <w:separator/>
      </w:r>
    </w:p>
  </w:endnote>
  <w:endnote w:type="continuationSeparator" w:id="0">
    <w:p w14:paraId="6D6AF21B" w14:textId="77777777" w:rsidR="004D0D04" w:rsidRDefault="004D0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3B56F5C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2703B4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FAF77" w14:textId="77777777" w:rsidR="004D0D04" w:rsidRDefault="004D0D04">
      <w:r>
        <w:separator/>
      </w:r>
    </w:p>
  </w:footnote>
  <w:footnote w:type="continuationSeparator" w:id="0">
    <w:p w14:paraId="1D6EE7CD" w14:textId="77777777" w:rsidR="004D0D04" w:rsidRDefault="004D0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EE2D49"/>
    <w:multiLevelType w:val="hybridMultilevel"/>
    <w:tmpl w:val="2A28873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3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 w15:restartNumberingAfterBreak="0">
    <w:nsid w:val="545B679A"/>
    <w:multiLevelType w:val="hybridMultilevel"/>
    <w:tmpl w:val="2A266440"/>
    <w:lvl w:ilvl="0" w:tplc="5BAC5CBC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8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5E30C2"/>
    <w:multiLevelType w:val="hybridMultilevel"/>
    <w:tmpl w:val="432C45FA"/>
    <w:lvl w:ilvl="0" w:tplc="2028E602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10"/>
  </w:num>
  <w:num w:numId="4">
    <w:abstractNumId w:val="17"/>
  </w:num>
  <w:num w:numId="5">
    <w:abstractNumId w:val="7"/>
  </w:num>
  <w:num w:numId="6">
    <w:abstractNumId w:val="25"/>
  </w:num>
  <w:num w:numId="7">
    <w:abstractNumId w:val="12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5"/>
  </w:num>
  <w:num w:numId="10">
    <w:abstractNumId w:val="19"/>
  </w:num>
  <w:num w:numId="11">
    <w:abstractNumId w:val="27"/>
  </w:num>
  <w:num w:numId="12">
    <w:abstractNumId w:val="24"/>
  </w:num>
  <w:num w:numId="13">
    <w:abstractNumId w:val="5"/>
  </w:num>
  <w:num w:numId="14">
    <w:abstractNumId w:val="4"/>
  </w:num>
  <w:num w:numId="15">
    <w:abstractNumId w:val="21"/>
  </w:num>
  <w:num w:numId="16">
    <w:abstractNumId w:val="24"/>
  </w:num>
  <w:num w:numId="17">
    <w:abstractNumId w:val="3"/>
  </w:num>
  <w:num w:numId="18">
    <w:abstractNumId w:val="26"/>
  </w:num>
  <w:num w:numId="19">
    <w:abstractNumId w:val="2"/>
  </w:num>
  <w:num w:numId="20">
    <w:abstractNumId w:val="14"/>
  </w:num>
  <w:num w:numId="21">
    <w:abstractNumId w:val="22"/>
  </w:num>
  <w:num w:numId="22">
    <w:abstractNumId w:val="6"/>
  </w:num>
  <w:num w:numId="23">
    <w:abstractNumId w:val="20"/>
  </w:num>
  <w:num w:numId="24">
    <w:abstractNumId w:val="8"/>
  </w:num>
  <w:num w:numId="25">
    <w:abstractNumId w:val="13"/>
  </w:num>
  <w:num w:numId="26">
    <w:abstractNumId w:val="18"/>
  </w:num>
  <w:num w:numId="27">
    <w:abstractNumId w:val="23"/>
  </w:num>
  <w:num w:numId="28">
    <w:abstractNumId w:val="11"/>
  </w:num>
  <w:num w:numId="29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07E3F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4B8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0F5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E3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A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9F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3A4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41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5E92"/>
    <w:rsid w:val="000A60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9C5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564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B63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0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8EA"/>
    <w:rsid w:val="000E49B2"/>
    <w:rsid w:val="000E4B27"/>
    <w:rsid w:val="000E4C5D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038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37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E6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39E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5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BB7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0F60"/>
    <w:rsid w:val="001E1235"/>
    <w:rsid w:val="001E1503"/>
    <w:rsid w:val="001E150A"/>
    <w:rsid w:val="001E15E5"/>
    <w:rsid w:val="001E16BB"/>
    <w:rsid w:val="001E1824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C0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0E6F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F6D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EBF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210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66D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1AA"/>
    <w:rsid w:val="002356B3"/>
    <w:rsid w:val="002356BF"/>
    <w:rsid w:val="00235B60"/>
    <w:rsid w:val="00235BD3"/>
    <w:rsid w:val="00235FD7"/>
    <w:rsid w:val="0023621E"/>
    <w:rsid w:val="002363A8"/>
    <w:rsid w:val="00236450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7A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AEC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292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51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C5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49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DA2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69D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6F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1F1D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6E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7BA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86E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1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868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676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7DF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4F16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A1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B9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0A1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97CBD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4D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BD4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B5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0D04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2E5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8B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19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E55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367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7A7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DF5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7C6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C61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563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4CD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85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D53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60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658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66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10F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86B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1EB"/>
    <w:rsid w:val="006643DA"/>
    <w:rsid w:val="00664435"/>
    <w:rsid w:val="0066447F"/>
    <w:rsid w:val="006645F9"/>
    <w:rsid w:val="0066477D"/>
    <w:rsid w:val="0066495D"/>
    <w:rsid w:val="0066498E"/>
    <w:rsid w:val="00664AF0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9A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079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0"/>
    <w:rsid w:val="006D0E79"/>
    <w:rsid w:val="006D10B1"/>
    <w:rsid w:val="006D10B8"/>
    <w:rsid w:val="006D1269"/>
    <w:rsid w:val="006D13E4"/>
    <w:rsid w:val="006D16D3"/>
    <w:rsid w:val="006D1707"/>
    <w:rsid w:val="006D177E"/>
    <w:rsid w:val="006D17E3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35"/>
    <w:rsid w:val="006F1DD4"/>
    <w:rsid w:val="006F201C"/>
    <w:rsid w:val="006F2148"/>
    <w:rsid w:val="006F2249"/>
    <w:rsid w:val="006F26EC"/>
    <w:rsid w:val="006F28D9"/>
    <w:rsid w:val="006F2928"/>
    <w:rsid w:val="006F2A4C"/>
    <w:rsid w:val="006F2AEB"/>
    <w:rsid w:val="006F2E5A"/>
    <w:rsid w:val="006F2FCD"/>
    <w:rsid w:val="006F30B1"/>
    <w:rsid w:val="006F318A"/>
    <w:rsid w:val="006F3202"/>
    <w:rsid w:val="006F325E"/>
    <w:rsid w:val="006F32FC"/>
    <w:rsid w:val="006F3385"/>
    <w:rsid w:val="006F39D0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631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86E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2F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45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3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5FF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2B8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2DA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C7F92"/>
    <w:rsid w:val="008D0185"/>
    <w:rsid w:val="008D051C"/>
    <w:rsid w:val="008D0574"/>
    <w:rsid w:val="008D070F"/>
    <w:rsid w:val="008D07A3"/>
    <w:rsid w:val="008D092B"/>
    <w:rsid w:val="008D09E2"/>
    <w:rsid w:val="008D0B69"/>
    <w:rsid w:val="008D0D3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90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749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1FE7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794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5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21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689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E8F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DFF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AD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7C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BC5"/>
    <w:rsid w:val="009E6C10"/>
    <w:rsid w:val="009E6C22"/>
    <w:rsid w:val="009E6C48"/>
    <w:rsid w:val="009E6CEA"/>
    <w:rsid w:val="009E6DA5"/>
    <w:rsid w:val="009E6E3B"/>
    <w:rsid w:val="009E7031"/>
    <w:rsid w:val="009E7283"/>
    <w:rsid w:val="009E7494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214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9DD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284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0F6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BBC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A8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653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9E4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E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98C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0D6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1FF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66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953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2FB4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67D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30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272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460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E64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B42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091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8F"/>
    <w:rsid w:val="00C613CA"/>
    <w:rsid w:val="00C615D5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67C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0C6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77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3DC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B8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D78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45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ABF"/>
    <w:rsid w:val="00D22C13"/>
    <w:rsid w:val="00D22F05"/>
    <w:rsid w:val="00D232F8"/>
    <w:rsid w:val="00D235F9"/>
    <w:rsid w:val="00D23701"/>
    <w:rsid w:val="00D238B3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3C5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4EE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11D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68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DE7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8F9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61A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99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3A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6FB8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333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183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4AA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125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3F"/>
    <w:rsid w:val="00EA11CD"/>
    <w:rsid w:val="00EA11E4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C8D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785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0A0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187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79A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C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26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4FB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28F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4A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C8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9E0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445FB-70DD-4D33-9C01-FABEF604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박성진/이동통신표준Lab(SR)/삼성전자</cp:lastModifiedBy>
  <cp:revision>224</cp:revision>
  <cp:lastPrinted>2015-10-31T09:51:00Z</cp:lastPrinted>
  <dcterms:created xsi:type="dcterms:W3CDTF">2025-02-03T23:46:00Z</dcterms:created>
  <dcterms:modified xsi:type="dcterms:W3CDTF">2025-05-09T00:38:00Z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848BDC07D05C405EDF9ADE52A82616D9471C8C69DDC907C5812C2E6AC3F8F7A75023C9E33C1ADACB98C9C361628D458FA90EC23127BB19EDB21C7224EA844695</vt:lpwstr>
  </property>
</Properties>
</file>